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0E" w:rsidRPr="007D3C0E" w:rsidRDefault="007D3C0E" w:rsidP="007D3C0E">
      <w:pPr>
        <w:pBdr>
          <w:top w:val="single" w:sz="6" w:space="1" w:color="auto"/>
        </w:pBdr>
        <w:jc w:val="center"/>
        <w:rPr>
          <w:rFonts w:ascii="Arial" w:hAnsi="Arial" w:cs="Cordia New"/>
          <w:vanish/>
          <w:sz w:val="16"/>
          <w:szCs w:val="20"/>
          <w:lang w:eastAsia="en-US"/>
        </w:rPr>
      </w:pPr>
      <w:r w:rsidRPr="007D3C0E">
        <w:rPr>
          <w:rFonts w:ascii="Arial" w:hAnsi="Arial" w:cs="Cordia New"/>
          <w:vanish/>
          <w:sz w:val="16"/>
          <w:szCs w:val="20"/>
          <w:cs/>
          <w:lang w:eastAsia="en-US"/>
        </w:rPr>
        <w:t>ส่วนล่างของฟอร์ม</w:t>
      </w:r>
    </w:p>
    <w:p w:rsidR="007D3C0E" w:rsidRPr="007D3C0E" w:rsidRDefault="007D3C0E" w:rsidP="007D3C0E">
      <w:pPr>
        <w:pBdr>
          <w:bottom w:val="single" w:sz="6" w:space="1" w:color="auto"/>
        </w:pBdr>
        <w:jc w:val="center"/>
        <w:rPr>
          <w:rFonts w:ascii="Arial" w:hAnsi="Arial" w:cs="Cordia New"/>
          <w:vanish/>
          <w:sz w:val="16"/>
          <w:szCs w:val="20"/>
          <w:lang w:eastAsia="en-US"/>
        </w:rPr>
      </w:pPr>
      <w:r w:rsidRPr="007D3C0E">
        <w:rPr>
          <w:rFonts w:ascii="Arial" w:hAnsi="Arial" w:cs="Cordia New"/>
          <w:vanish/>
          <w:sz w:val="16"/>
          <w:szCs w:val="20"/>
          <w:cs/>
          <w:lang w:eastAsia="en-US"/>
        </w:rPr>
        <w:t>ส่วนบนของฟอร์ม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8"/>
      </w:tblGrid>
      <w:tr w:rsidR="007D3C0E" w:rsidRPr="007D3C0E" w:rsidTr="007D3C0E">
        <w:trPr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tblW w:w="4500" w:type="pct"/>
              <w:jc w:val="center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32"/>
            </w:tblGrid>
            <w:tr w:rsidR="007D3C0E" w:rsidRPr="007D3C0E" w:rsidTr="007D3C0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CCCCCC"/>
                  <w:vAlign w:val="center"/>
                  <w:hideMark/>
                </w:tcPr>
                <w:p w:rsidR="007D3C0E" w:rsidRPr="007D3C0E" w:rsidRDefault="007D3C0E" w:rsidP="007D3C0E">
                  <w:pPr>
                    <w:ind w:left="-1574"/>
                    <w:rPr>
                      <w:rFonts w:ascii="Angsana New" w:hAnsi="Angsana New" w:cs="Angsana New"/>
                      <w:sz w:val="28"/>
                      <w:szCs w:val="28"/>
                      <w:lang w:eastAsia="en-US"/>
                    </w:rPr>
                  </w:pPr>
                  <w:r w:rsidRPr="007D3C0E">
                    <w:rPr>
                      <w:rFonts w:ascii="Angsana New" w:hAnsi="Angsana New" w:cs="Angsana New"/>
                      <w:b/>
                      <w:bCs/>
                      <w:sz w:val="28"/>
                      <w:szCs w:val="28"/>
                      <w:cs/>
                      <w:lang w:eastAsia="en-US"/>
                    </w:rPr>
                    <w:t>สรุปผลประเมินการ</w:t>
                  </w:r>
                  <w:r>
                    <w:rPr>
                      <w:rFonts w:ascii="Angsana New" w:hAnsi="Angsana New" w:cs="Angsana New" w:hint="cs"/>
                      <w:b/>
                      <w:bCs/>
                      <w:sz w:val="28"/>
                      <w:szCs w:val="28"/>
                      <w:cs/>
                      <w:lang w:eastAsia="en-US"/>
                    </w:rPr>
                    <w:t xml:space="preserve">      </w:t>
                  </w:r>
                  <w:r w:rsidRPr="007D3C0E">
                    <w:rPr>
                      <w:rFonts w:ascii="Angsana New" w:hAnsi="Angsana New" w:cs="Angsana New"/>
                      <w:b/>
                      <w:bCs/>
                      <w:sz w:val="28"/>
                      <w:szCs w:val="28"/>
                      <w:cs/>
                      <w:lang w:eastAsia="en-US"/>
                    </w:rPr>
                    <w:t>จัดบริการสาธารณะ</w:t>
                  </w:r>
                </w:p>
              </w:tc>
            </w:tr>
            <w:tr w:rsidR="007D3C0E" w:rsidRPr="007D3C0E" w:rsidTr="007D3C0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729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24"/>
                    <w:gridCol w:w="3183"/>
                    <w:gridCol w:w="747"/>
                    <w:gridCol w:w="756"/>
                    <w:gridCol w:w="865"/>
                    <w:gridCol w:w="610"/>
                    <w:gridCol w:w="3144"/>
                  </w:tblGrid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shd w:val="clear" w:color="auto" w:fill="CCCCCC"/>
                        <w:vAlign w:val="center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 xml:space="preserve">           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>บริการสาธารณะ</w:t>
                        </w:r>
                      </w:p>
                    </w:tc>
                    <w:tc>
                      <w:tcPr>
                        <w:tcW w:w="1366" w:type="pct"/>
                        <w:shd w:val="clear" w:color="auto" w:fill="CCCCCC"/>
                        <w:vAlign w:val="center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>เกณฑ์ชี้วัด</w:t>
                        </w:r>
                      </w:p>
                    </w:tc>
                    <w:tc>
                      <w:tcPr>
                        <w:tcW w:w="306" w:type="pct"/>
                        <w:shd w:val="clear" w:color="auto" w:fill="CCCCCC"/>
                        <w:vAlign w:val="center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>ค่าเป้าหมาย (%)</w:t>
                        </w:r>
                      </w:p>
                    </w:tc>
                    <w:tc>
                      <w:tcPr>
                        <w:tcW w:w="315" w:type="pct"/>
                        <w:shd w:val="clear" w:color="auto" w:fill="CCCCCC"/>
                        <w:vAlign w:val="center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>กรอบการประเมิน (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>1)</w:t>
                        </w:r>
                      </w:p>
                    </w:tc>
                    <w:tc>
                      <w:tcPr>
                        <w:tcW w:w="362" w:type="pct"/>
                        <w:shd w:val="clear" w:color="auto" w:fill="CCCCCC"/>
                        <w:vAlign w:val="center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>การจัดบริการสาธารณะ (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>2)</w:t>
                        </w:r>
                      </w:p>
                    </w:tc>
                    <w:tc>
                      <w:tcPr>
                        <w:tcW w:w="252" w:type="pct"/>
                        <w:shd w:val="clear" w:color="auto" w:fill="CCCCCC"/>
                        <w:vAlign w:val="center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(2)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>เทียบ กับ (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>1) %</w:t>
                        </w:r>
                      </w:p>
                    </w:tc>
                    <w:tc>
                      <w:tcPr>
                        <w:tcW w:w="1266" w:type="pct"/>
                        <w:shd w:val="clear" w:color="auto" w:fill="CCCCCC"/>
                        <w:vAlign w:val="center"/>
                        <w:hideMark/>
                      </w:tcPr>
                      <w:p w:rsidR="007D3C0E" w:rsidRPr="007D3C0E" w:rsidRDefault="001A7DE1" w:rsidP="001A7DE1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 xml:space="preserve">             </w:t>
                        </w:r>
                        <w:r w:rsidR="007D3C0E"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>ผลการประเมิน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4974" w:type="pct"/>
                        <w:gridSpan w:val="7"/>
                        <w:shd w:val="clear" w:color="auto" w:fill="B8B8B8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 xml:space="preserve">                  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 xml:space="preserve">ด้านที่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1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 xml:space="preserve">โครงสร้างพื้นฐาน และ ด้านที่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2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>ผังเมือง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4974" w:type="pct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                  </w:t>
                        </w:r>
                        <w:r w:rsidR="001A7DE1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>1.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>ด้านโครงสร้างพื้นฐาน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1.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ร้อยละของจำนวนถนนลาดยางในความรับผิดชอบทั้งหมดของ อบต. ที่ได้รับการบำรุงรักษาให้อยู่ในสภาพที่ใช้งานได้ปกติ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80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3.34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3.34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2.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ร้อยละของจำนวนถนนคอนกรีตในความรับผิดชอบทั้งหมดของ อบต. ที่ได้รับการบำรุงรักษาให้อยู่ในสภาพที่ใช้งานได้ปกติ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80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1379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1379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3.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ร้อยละของจำนวนจุดอันตรายที่เกิดอุบัติเหตุบ่อยครั้งทางการจราจรทางบกในเขต อบต. ที่ได้รับการพัฒนา ปรับปรุง หรือแก้ไขให้ปลอดภัย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75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75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เท่ากับค่าเป้าหมาย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4.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จำนวนครั้งที่ อบต. ดำเนินการจัดกิจกรรมในการรณรงค์ประชาสัมพันธ์ เพื่อมุ่งลดการเกิดอุบัติเหตุบนท้องถนน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7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233.33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5.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ร้อยละของจำนวนไฟส่องสว่างในความรับผิดชอบในเขตทางของ อบต. ที่ได้รับการบำรุงรักษาให้อยู่ในสภาพที่ใช้งานได้ปกติ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100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77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77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เท่ากับค่าเป้าหมาย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6.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ร้อยละของจำนวนสายทางคลอง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หรือลำธารสาธารณะ หรือแหล่งน้ำสาธารณะ หรือพื้นที่พักน้ำ หรือแก้มลิง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ในความรับผิดชอบของ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ที่ได้รับการดูแลรักษาให้น้ำสามารถไหลผ่านได้ไม่ติดขัด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หรือให้อยู่ในสภาพที่ใช้งานได้ปกติ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90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8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400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7.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ร้อยละของจำนวนเครื่องสูบน้ำ ที่อยู่ในความรับผิดชอบของ อบต. ที่ได้รับการบำรุงรักษาให้อยู่ในสภาพที่ใช้งานได้ปกติ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95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color w:val="0000FF"/>
                            <w:sz w:val="28"/>
                            <w:szCs w:val="28"/>
                            <w:cs/>
                            <w:lang w:eastAsia="en-US"/>
                          </w:rPr>
                          <w:t xml:space="preserve">              </w:t>
                        </w:r>
                        <w:r w:rsidRPr="007D3C0E">
                          <w:rPr>
                            <w:rFonts w:ascii="Angsana New" w:hAnsi="Angsana New" w:cs="Angsana New"/>
                            <w:color w:val="0000FF"/>
                            <w:sz w:val="28"/>
                            <w:szCs w:val="28"/>
                            <w:cs/>
                            <w:lang w:eastAsia="en-US"/>
                          </w:rPr>
                          <w:t>การพัฒนาในอนาคต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8.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ร้อยละของจำนวนคลองส่งน้ำที่อยู่ในความรับผิดชอบของ อบต. ที่ได้รับการบำรุงรักษาให้อยู่ในสภาพที่ใช้งานได้ปกติ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90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color w:val="FF0000"/>
                            <w:sz w:val="28"/>
                            <w:szCs w:val="28"/>
                            <w:cs/>
                            <w:lang w:eastAsia="en-US"/>
                          </w:rPr>
                          <w:t xml:space="preserve">             </w:t>
                        </w:r>
                        <w:r w:rsidRPr="007D3C0E">
                          <w:rPr>
                            <w:rFonts w:ascii="Angsana New" w:hAnsi="Angsana New" w:cs="Angsana New"/>
                            <w:color w:val="FF0000"/>
                            <w:sz w:val="28"/>
                            <w:szCs w:val="28"/>
                            <w:cs/>
                            <w:lang w:eastAsia="en-US"/>
                          </w:rPr>
                          <w:t>ไม่มีบริการสาธารณะ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9.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ร้อยละของจำนวนระบบประปาหมู่บ้านที่อยู่ในพื้นที่ อบต. ที่บริหารโดย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และรวมถึงที่บริหารโดยคณะกรรมการบริหารกิจการประปา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ที่ได้รับการบำรุงรักษาให้อยู่ในสภาพที่ใช้งานได้ปกติ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95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300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10.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จำนวนครั้งในการประเมินความพึงพอใจของประชาชนต่อการจัดบริการสาธารณะ ด้านโครงสร้างพื้นฐานของ อบต.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55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5500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4974" w:type="pct"/>
                        <w:gridSpan w:val="7"/>
                        <w:vAlign w:val="center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 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4974" w:type="pct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                    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>2.</w:t>
                        </w:r>
                        <w:r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Angsana New" w:hAnsi="Angsana New" w:cs="Angsana New" w:hint="cs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>ด้านการผังเมือง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11.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จำนวนผังเมืองที่ อบต. ได้มีการจัดทำโดย อบต. ดำเนินการเอง หรือ อบต. ดำเนินการร่วมกับกรมโยธาธิการและผังเมือง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FF0000"/>
                            <w:sz w:val="28"/>
                            <w:szCs w:val="28"/>
                            <w:cs/>
                            <w:lang w:eastAsia="en-US"/>
                          </w:rPr>
                          <w:t>ไม่ได้ดำเนินการ</w:t>
                        </w:r>
                        <w:r w:rsidRPr="007D3C0E">
                          <w:rPr>
                            <w:rFonts w:ascii="Angsana New" w:hAnsi="Angsana New" w:cs="Angsana New"/>
                            <w:color w:val="FF0000"/>
                            <w:sz w:val="28"/>
                            <w:szCs w:val="28"/>
                            <w:lang w:eastAsia="en-US"/>
                          </w:rPr>
                          <w:br/>
                        </w:r>
                        <w:r w:rsidRPr="007D3C0E">
                          <w:rPr>
                            <w:rFonts w:ascii="Angsana New" w:hAnsi="Angsana New" w:cs="Angsana New"/>
                            <w:color w:val="FF0000"/>
                            <w:sz w:val="28"/>
                            <w:szCs w:val="28"/>
                            <w:cs/>
                            <w:lang w:eastAsia="en-US"/>
                          </w:rPr>
                          <w:t>ในปีงบประมาณ พ.ศ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12.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จำนวนครั้งในการส่งเสริมและสร้างการมีส่วนร่วมของประชาชนในการวางผังเมือง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ผ่านกระบวนการรับฟังความคิดเห็น โดย อบต. ดำเนินการเอง หรือ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ดำเนินการร่วมกับกรมโยธาธิการและผังเมือง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FF0000"/>
                            <w:sz w:val="28"/>
                            <w:szCs w:val="28"/>
                            <w:cs/>
                            <w:lang w:eastAsia="en-US"/>
                          </w:rPr>
                          <w:t>ไม่ได้ดำเนินการ</w:t>
                        </w:r>
                        <w:r w:rsidRPr="007D3C0E">
                          <w:rPr>
                            <w:rFonts w:ascii="Angsana New" w:hAnsi="Angsana New" w:cs="Angsana New"/>
                            <w:color w:val="FF0000"/>
                            <w:sz w:val="28"/>
                            <w:szCs w:val="28"/>
                            <w:lang w:eastAsia="en-US"/>
                          </w:rPr>
                          <w:br/>
                        </w:r>
                        <w:r w:rsidRPr="007D3C0E">
                          <w:rPr>
                            <w:rFonts w:ascii="Angsana New" w:hAnsi="Angsana New" w:cs="Angsana New"/>
                            <w:color w:val="FF0000"/>
                            <w:sz w:val="28"/>
                            <w:szCs w:val="28"/>
                            <w:cs/>
                            <w:lang w:eastAsia="en-US"/>
                          </w:rPr>
                          <w:t>ในปีงบประมาณ พ.ศ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13.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จำนวนครั้งในการให้ความรู้แก่ประชาชนเกี่ยวกับการควบคุมการใช้ประโยชน์ที่ดิน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ให้เป็นไปตามผังเมือง โดย อบต. ดำเนินการเอง หรือ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ดำเนินการร่วมกับกรมโยธาธิการ และผังเมือง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FF0000"/>
                            <w:sz w:val="28"/>
                            <w:szCs w:val="28"/>
                            <w:cs/>
                            <w:lang w:eastAsia="en-US"/>
                          </w:rPr>
                          <w:t>ไม่ได้ดำเนินการ</w:t>
                        </w:r>
                        <w:r w:rsidRPr="007D3C0E">
                          <w:rPr>
                            <w:rFonts w:ascii="Angsana New" w:hAnsi="Angsana New" w:cs="Angsana New"/>
                            <w:color w:val="FF0000"/>
                            <w:sz w:val="28"/>
                            <w:szCs w:val="28"/>
                            <w:lang w:eastAsia="en-US"/>
                          </w:rPr>
                          <w:br/>
                        </w:r>
                        <w:r w:rsidRPr="007D3C0E">
                          <w:rPr>
                            <w:rFonts w:ascii="Angsana New" w:hAnsi="Angsana New" w:cs="Angsana New"/>
                            <w:color w:val="FF0000"/>
                            <w:sz w:val="28"/>
                            <w:szCs w:val="28"/>
                            <w:cs/>
                            <w:lang w:eastAsia="en-US"/>
                          </w:rPr>
                          <w:t>ในปีงบประมาณ พ.ศ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14.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จำนวนครั้งในการส่งเสริมให้ความรู้แก่ประชาชนเกี่ยวกับการควบคุมอาคาร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และการรับมือกับความเสี่ยงต่าง ๆ ในอาคารสูงหรืออาคารที่มีความเสี่ยงภัย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หรือในชุมชน เช่น การซ้อมหนีไฟ การซ้อมดับเพลิง แผ่นดินไหว โดย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ดำเนินการเอง หรือ อบต. ดำเนินการร่วมกับกรมโยธาธิการและผังเมือง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เท่ากับค่าเป้าหมาย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15.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จำนวนครั้งในการให้ความรู้ ให้คำแนะนำ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ปรึกษา แก่ประชาชน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หรือ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lastRenderedPageBreak/>
                          <w:t>ผู้ประกอบการในการออกใบอนุญาตก่อสร้างอาคารให้ตรงกับข้อกำหนดของการใช้ประโยชน์ที่ดินในพื้นที่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โดย อบต. ดำเนินการเอง หรือ อบต. ดำเนินการร่วมกับกรมโยธาธิการและผังเมือง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48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4800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16.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จำนวนครั้งในการจัดเก็บข้อมูลการประเมินผลผังเพื่อจัดทำรายงานการประเมินผล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การเปลี่ยนแปลงสภาพการณ์และสิ่งแวดล้อมการใช้บังคับผังเมือง โดย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ดำเนินการเอง หรือ อบต. ดำเนินการร่วมกับกรมโยธาธิการและผังเมือง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FF0000"/>
                            <w:sz w:val="28"/>
                            <w:szCs w:val="28"/>
                            <w:cs/>
                            <w:lang w:eastAsia="en-US"/>
                          </w:rPr>
                          <w:t>ไม่ได้ดำเนินการ</w:t>
                        </w:r>
                        <w:r w:rsidRPr="007D3C0E">
                          <w:rPr>
                            <w:rFonts w:ascii="Angsana New" w:hAnsi="Angsana New" w:cs="Angsana New"/>
                            <w:color w:val="FF0000"/>
                            <w:sz w:val="28"/>
                            <w:szCs w:val="28"/>
                            <w:lang w:eastAsia="en-US"/>
                          </w:rPr>
                          <w:br/>
                        </w:r>
                        <w:r w:rsidRPr="007D3C0E">
                          <w:rPr>
                            <w:rFonts w:ascii="Angsana New" w:hAnsi="Angsana New" w:cs="Angsana New"/>
                            <w:color w:val="FF0000"/>
                            <w:sz w:val="28"/>
                            <w:szCs w:val="28"/>
                            <w:cs/>
                            <w:lang w:eastAsia="en-US"/>
                          </w:rPr>
                          <w:t>ในปีงบประมาณ พ.ศ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17.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จำนวนครั้งในการประเมินความพึงพอใจของประชาชนต่อการจัดบริการสาธารณะ ด้านการผังเมืองของ อบต.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30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3000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4974" w:type="pct"/>
                        <w:gridSpan w:val="7"/>
                        <w:vAlign w:val="center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 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4974" w:type="pct"/>
                        <w:gridSpan w:val="7"/>
                        <w:shd w:val="clear" w:color="auto" w:fill="B8B8B8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 xml:space="preserve">                    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 xml:space="preserve">ด้านที่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3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>ด้านสาธารณสุข บริการทางสังคม และคุณภาพชีวิต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4974" w:type="pct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                  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3.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>ด้านสาธารณสุข บริการทางสังคม และคุณภาพชีวิต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18.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ร้อยละของจำนวนผู้สูงอายุที่มีปัญหาด้านสุขภาพ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หรือป่วยติดเตียงที่ได้รับการดูแล และมีการติดตามผล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หรือการออกเยี่ยมบ้านให้คำแนะนำ ปรึกษา ปัญหาสุขภาพให้แก่ผู้สูงอายุจาก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อบต.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90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25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25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19.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จำนวนโครงการหรือกิจกรรมที่ อบต. ดำเนินการส่งเสริมสุขภาพผู้สูงอายุที่มีปัญหาเกี่ยวกับสุขภาพ หรือป่วยติดเตียง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16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800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20.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ร้อยละของจำนวนผู้สูงอายุที่เป็นสมาชิกในชมรม สมาคม ศูนย์บริการทางสังคม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หรือโรงเรียนผู้สูงอายุที่อยู่ในความรับผิดชอบของ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ที่เข้าร่วมกิจกรรมต่าง ๆ ที่ชมรม สมาคม ศูนย์บริการทางสังคม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หรือโรงเรียนผู้สูงอายุ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ที่อยู่ในความรับผิดชอบของ อบต. จัดขึ้น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60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300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300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Default="007D3C0E" w:rsidP="007D3C0E">
                        <w:pPr>
                          <w:rPr>
                            <w:rFonts w:ascii="Angsana New" w:hAnsi="Angsana New" w:cs="Angsana New" w:hint="cs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21.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จำนวนโครงการหรือกิจกรรมที่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ดำเนินการ หรือให้การสนับสนุนในการจัดกิจกรรมนันทนาการต่าง ๆ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หรือส่งเสริมการออกกำลังกายให้แก่ผู้สูงอายุ</w:t>
                        </w:r>
                      </w:p>
                      <w:p w:rsidR="001A7DE1" w:rsidRPr="007D3C0E" w:rsidRDefault="001A7DE1" w:rsidP="007D3C0E">
                        <w:pPr>
                          <w:rPr>
                            <w:rFonts w:ascii="Angsana New" w:hAnsi="Angsana New" w:cs="Angsana New" w:hint="cs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16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800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22.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จำนวนโครงการหรือกิจกรรมที่ อบต. ดำเนินการ หรือให้การสนับสนุนในการพัฒนาอาชีพและการส่งเสริมเพิ่มรายได้ให้แก่ผู้สูงอายุ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10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500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23.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ร้อยละของจำนวนผู้สูงอายุที่ยากไร้ที่อยู่ในภาวะพึ่งพิงในพื้นที่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ที่ขอรับการช่วยเหลือจาก อบต. และได้รับการดูแลช่วยเหลือจาก อบต. หรือ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อบต.ประสานงาน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ส่งต่อหน่วยงานที่เกี่ยวข้องให้ดำเนินการสงเคราะห์หรือฟื้นฟู หรือ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ประสานงานและสงเคราะห์ให้เข้าสู่สถานสงเคราะห์คนชรา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80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25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20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80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เท่ากับค่าเป้าหมาย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24.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ร้อยละของจำนวนผู้พิการ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ผู้ยากไร้ที่ด้อยโอกาสในพื้นที่ อบต. ที่ขอรับการช่วยเหลือจาก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และได้รับการช่วยเหลือสนับสนุนหรือประสานหน่วยงานส่งต่อหน่วยงานที่เกี่ยวข้องให้ดำเนินการช่วยเหลือสนับสนุนปัจจัยสี่ในการดำรงชีพ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100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20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20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เท่ากับค่าเป้าหมาย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25.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จำนวนโครงการหรือกิจกรรมที่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ดำเนินการในการส่งเสริม ป้องกัน ควบคุมเฝ้าระวังป้องกันโรคประจำถิ่น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การแพร่ระบาดของโรคติดต่อ รวมถึงการป้องกัน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 xml:space="preserve">ควบคุมกลุ่มโรคไม่ติดต่อเรื้อรัง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NCDs (Non-communicable diseases)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เกี่ยวกับพฤติกรรมการใช้ชีวิต การรับประทานอาหาร ความเครียด เช่น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โรคเบาหวาน โรคความดันสูง โรคไขมันในเลือดสูง เป็นต้น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150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26.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ร้อยละของจำนวนสัตว์ในพื้นที่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ที่ได้รับการสำรวจ ขึ้นทะเบียนสัตว์ และฉีดวัคซีนป้องกันโรคพิษสุนัขบ้า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หรือทำหมันตามโครงการสัตว์ปลอดโรค คนปลอดภัย จากโรคพิษสุนัขบ้า ที่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ดำเนินการเอง หรือ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ร่วมดำเนินการกับส่วนราชการ</w:t>
                        </w:r>
                      </w:p>
                      <w:p w:rsidR="001A7DE1" w:rsidRDefault="001A7DE1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1A7DE1" w:rsidRPr="007D3C0E" w:rsidRDefault="001A7DE1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100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1200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1200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เท่ากับค่าเป้าหมาย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27.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จำนวนโครงการหรือกิจกรรมที่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ดำเนินการเอง หรือร่วมดำเนินการกับส่วนราชการ ในการตรวจสุขาภิบาลอาหาร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หรือสถานประกอบกิจการอาหารในพื้นที่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เท่ากับค่าเป้าหมาย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28.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จำนวนครั้งในการประเมินความพึงพอใจของประชาชนต่อการจัดบริการสาธารณะ ด้านสาธารณสุข บริการทางสังคม และคุณภาพชีวิตของ อบต.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85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8500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4974" w:type="pct"/>
                        <w:gridSpan w:val="7"/>
                        <w:vAlign w:val="center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 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4974" w:type="pct"/>
                        <w:gridSpan w:val="7"/>
                        <w:shd w:val="clear" w:color="auto" w:fill="B8B8B8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 xml:space="preserve">                   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 xml:space="preserve">ด้านที่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4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>ด้านการศึกษา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4974" w:type="pct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 xml:space="preserve">                   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 xml:space="preserve">ด้านที่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4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>การศึกษา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29.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ร้อยละของจำนวนศูนย์พัฒนาเด็กเล็กในสังกัด อบต. ที่ผ่านการประเมินมาตรฐานสถานพัฒนาเด็กปฐมวัยแห่งชาติ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100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เท่ากับค่าเป้าหมาย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30.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ร้อยละของจำนวนเด็กในศูนย์พัฒนาเด็กเล็ก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และเด็กในโรงเรียนอนุบาล และเด็กในโรงเรียนประถมศึกษาในสังกัด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รวมถึงเด็กนักเรียนในโรงเรียนในสังกัดอื่นที่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ให้การสนับสนุนหรืออุดหนุนให้ได้รับอาหารเสริม (นม) ครบถ้วน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100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458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458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เท่ากับค่าเป้าหมาย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31.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ร้อยละของจำนวนเด็กในศูนย์พัฒนาเด็กเล็ก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และเด็กในโรงเรียนอนุบาล และเด็กในโรงเรียนประถมศึกษา ในสังกัด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รวมถึงเด็กนักเรียนในโรงเรียนในสังกัดอื่นที่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ให้การสนับสนุนหรืออุดหนุนให้ได้รับอาหารกลางวันที่มีคุณค่าทางโภชนาการครบถ้วน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100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458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458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เท่ากับค่าเป้าหมาย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32.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ร้อยละของจำนวนเด็กด้อยโอกาส เด็กพิการที่ได้รับการสนับสนุนด้านการศึกษา หรือด้านการเงิน หรือวัสดุอุปกรณ์จาก อบต.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100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195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195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เท่ากับค่าเป้าหมาย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33.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จำนวนโครงการหรือกิจกรรมที่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ดำเนินการ หรือให้การสนับสนุนในการส่งเสริมอาชีพ หรือวิชาชีพ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ให้แก่นักเรียนในโรงเรียนในสังกัด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รวมถึงนักเรียนในโรงเรียนในสังกัดอื่นที่ อบต. ให้การ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lastRenderedPageBreak/>
                          <w:t>สนับสนุนหรืออุดหนุน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50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00FF"/>
                            <w:sz w:val="28"/>
                            <w:szCs w:val="28"/>
                            <w:cs/>
                            <w:lang w:eastAsia="en-US"/>
                          </w:rPr>
                          <w:t>การพัฒนาในอนาคต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34.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จำนวนโครงการหรือกิจกรรมที่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ดำเนินการ หรือให้การสนับสนุน ในการส่งเสริมการเรียนรู้เกี่ยวกับเทคโนโลยี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วิทยาศาสตร์ ทักษะคอมพิวเตอร์ หรือการรู้เท่าทันโลกดิจิทัล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ให้แก่นักเรียนในโรงเรียนในสังกัด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รวมถึงนักเรียนในโรงเรียนในสังกัดอื่นที่ อบต. ให้การสนับสนุนหรืออุดหนุน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150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35.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จำนวนโครงการหรือกิจกรรมที่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ดำเนินการ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หรือให้การสนับสนุนในการส่งเสริมการสอนภาษาต่างประเทศให้แก่นักเรียน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ในโรงเรียนในสังกัดของ อบต.รวมถึงนักเรียนในโรงเรียนในสังกัดอื่นที่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ให้การสนับสนุนหรืออุดหนุน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FF0000"/>
                            <w:sz w:val="28"/>
                            <w:szCs w:val="28"/>
                            <w:cs/>
                            <w:lang w:eastAsia="en-US"/>
                          </w:rPr>
                          <w:t>ไม่ได้ดำเนินการ</w:t>
                        </w:r>
                        <w:r w:rsidRPr="007D3C0E">
                          <w:rPr>
                            <w:rFonts w:ascii="Angsana New" w:hAnsi="Angsana New" w:cs="Angsana New"/>
                            <w:color w:val="FF0000"/>
                            <w:sz w:val="28"/>
                            <w:szCs w:val="28"/>
                            <w:lang w:eastAsia="en-US"/>
                          </w:rPr>
                          <w:br/>
                        </w:r>
                        <w:r w:rsidRPr="007D3C0E">
                          <w:rPr>
                            <w:rFonts w:ascii="Angsana New" w:hAnsi="Angsana New" w:cs="Angsana New"/>
                            <w:color w:val="FF0000"/>
                            <w:sz w:val="28"/>
                            <w:szCs w:val="28"/>
                            <w:cs/>
                            <w:lang w:eastAsia="en-US"/>
                          </w:rPr>
                          <w:t>ในปีงบประมาณ พ.ศ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36.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จำนวนครั้งในการประเมินความพึงพอใจของประชาชนต่อการจัดบริการสาธารณะ ด้านการศึกษาของ อบต.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123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12300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4974" w:type="pct"/>
                        <w:gridSpan w:val="7"/>
                        <w:vAlign w:val="center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 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4974" w:type="pct"/>
                        <w:gridSpan w:val="7"/>
                        <w:shd w:val="clear" w:color="auto" w:fill="B8B8B8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 xml:space="preserve">                   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 xml:space="preserve">ด้านที่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5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>ด้านการจัดระเบียบชุมชนและการรักษาความสงบปลอดภัย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4974" w:type="pct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 xml:space="preserve">                   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 xml:space="preserve">ด้านที่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5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>การจัดระเบียบชุมชนและการรักษาความสงบปลอดภัย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37.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จำนวนแผนป้องกันและบรรเทาสาธารณภัยประเภทสำคัญที่เกิดขึ้นในพื้นที่ ที่ อบต. ได้ดำเนินการ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250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38.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ร้อยละของจำนวนอาสาสมัครป้องกันภัยฝ่ายพลเรือน (อปพร.) ที่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สนับสนุนจัดตั้งขึ้น รวมทั้ง จำนวนอาสาสมัครป้องกัน สาธารณภัยของมูลนิธิ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สมาคม สมาชิก ชมรม หรืออื่น ๆ ที่ตั้งขึ้นถูกต้องตามกฎหมายในเขตพื้นที่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6636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433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6.53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39.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ร้อยละของจำนวนกล้องโทรทัศน์วงจรปิด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(CCTV)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ด้านความปลอดภัยของ อบต. ที่ติดตั้งในพื้นที่สาธารณะที่ชำรุดเสียหาย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 xml:space="preserve">และสามารถซ่อมแซมให้ใช้งานได้ปกติ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24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ชั่วโมง</w:t>
                        </w:r>
                      </w:p>
                      <w:p w:rsidR="001A7DE1" w:rsidRDefault="001A7DE1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1A7DE1" w:rsidRPr="007D3C0E" w:rsidRDefault="001A7DE1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100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75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00FF"/>
                            <w:sz w:val="28"/>
                            <w:szCs w:val="28"/>
                            <w:cs/>
                            <w:lang w:eastAsia="en-US"/>
                          </w:rPr>
                          <w:t>การพัฒนาในอนาคต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40.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จำนวนศูนย์หรือช่องทางการรับเรื่องราวร้องทุกข์ต่าง ๆ เช่น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ศูนย์ไกล่เกลี่ยข้อพิพาท ศูนย์ยุติธรรมชุมชน ศูนย์บริการประชาชน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 xml:space="preserve">ศูนย์ดำรงธรรม ศูนย์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one stop service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ศูนย์ส่งเสริมการมีส่วนร่วมของประชาชน หรือจากช่องทางสื่อออนไลน์อื่น ๆ ที่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อบต. จัดให้มีหรือดำเนินการ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9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450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41.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ร้อยละของจำนวนเรื่องราวร้องทุกข์ต่าง ๆ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ของประชาชน จากศูนย์รับเรื่องราวร้องทุกข์ ศูนย์ไกล่เกลี่ยข้อพิพาท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 xml:space="preserve">ศูนย์ยุติธรรมชุมชน ศูนย์บริการประชาชน ศูนย์ดำรงธรรม ศูนย์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one stop service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ศูนย์ส่งเสริมการมีส่วนร่วมของประชาชน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หรือจากช่องทางสื่อออนไลน์อื่น ๆ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ที่ส่งให้ อบต. ดำเนินการ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และได้รับการแก้ไขปัญหา หรือได้รับการให้ความช่วยเหลือจาก อบต. หรือ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ประสานงานส่งต่อหน่วยงานที่เกี่ยวข้องดำเนินการต่อไป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100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เท่ากับค่าเป้าหมาย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42.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จำนวนครั้งในการประเมินความพึงพอใจของประชาชนต่อการจัดบริการสาธารณะ ด้านการจัดระเบียบชุมชนและการรักษาความสงบปลอดภัยของ อบต.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85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8500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4974" w:type="pct"/>
                        <w:gridSpan w:val="7"/>
                        <w:vAlign w:val="center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 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4974" w:type="pct"/>
                        <w:gridSpan w:val="7"/>
                        <w:shd w:val="clear" w:color="auto" w:fill="B8B8B8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                    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 xml:space="preserve">ด้านที่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6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>ด้านการส่งเสริมเศรษฐกิจชุมชน อาชีพ การท่องเที่ยว และการลงทุน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4974" w:type="pct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                   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 xml:space="preserve">ด้านที่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6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>การส่งเสริมเศรษฐกิจชุมชน อาชีพ การท่องเที่ยว และการลงทุน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43.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ร้อยละของจำนวนกลุ่มอาชีพต่าง ๆ เช่น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กลุ่มเกษตรกร กลุ่มวิสาหกิจชุมชน กลุ่มแปรรูป การผลิต กลุ่มการท่องเที่ยว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กลุ่มอาชีพใหม่ ฯลฯ ที่ อบต. ดำเนินการส่งเสริม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หรือให้การสนับสนุนให้สามารถดำเนินการได้อย่างยั่งยืน และมีรายได้ต่อเนื่อง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90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44.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จำนวนโครงการหรือกิจกรรมที่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ดำเนินการส่งเสริม หรือให้การสนับสนุน กลุ่มอาชีพต่าง ๆ เช่น กลุ่มเกษตรกร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กลุ่มวิสาหกิจชุมชน กลุ่มแปรรูปการผลิต กลุ่มการท่องเที่ยว กลุ่มอาชีพใหม่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ฯลฯ ให้สามารถดำเนินการได้อย่างยั่งยืน และมี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lastRenderedPageBreak/>
                          <w:t>รายได้ต่อเนื่อง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50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color w:val="0000FF"/>
                            <w:sz w:val="28"/>
                            <w:szCs w:val="28"/>
                            <w:cs/>
                            <w:lang w:eastAsia="en-US"/>
                          </w:rPr>
                          <w:t xml:space="preserve">             </w:t>
                        </w:r>
                        <w:r w:rsidRPr="007D3C0E">
                          <w:rPr>
                            <w:rFonts w:ascii="Angsana New" w:hAnsi="Angsana New" w:cs="Angsana New"/>
                            <w:color w:val="0000FF"/>
                            <w:sz w:val="28"/>
                            <w:szCs w:val="28"/>
                            <w:cs/>
                            <w:lang w:eastAsia="en-US"/>
                          </w:rPr>
                          <w:t>การพัฒนาในอนาคต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45.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จำนวนโครงการหรือกิจกรรมที่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ดำเนินการส่งเสริม หรือให้การสนับสนุน.จัดให้มีศูนย์แสดงสินค้าชุมชน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ศูนย์จำหน่ายสินค้า ตลาดนัด ตลาดชุมชน ถนนคนเดิน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ถนนวัฒนธรรม ตลาดน้ำ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หรือตลาดเก่า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250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46.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จำนวนโครงการหรือกิจกรรมที่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ดำเนินการ หรือให้การสนับสนุน ในการปรับปรุง ซ่อมแซม บำรุงรักษา และฟื้นฟู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แหล่งท่องเที่ยวให้มีสภาพที่เหมาะสมต่อการท่องเที่ยว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เท่ากับค่าเป้าหมาย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47.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จำนวนโครงการหรือกิจกรรมที่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ดำเนินการ หรือให้การสนับสนุน ในการกระตุ้น หรือส่งเสริมการท่องเที่ยว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และการให้ความรู้เกี่ยวกับประวัติความเป็นมาของแหล่งท่องเที่ยว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50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color w:val="0000FF"/>
                            <w:sz w:val="28"/>
                            <w:szCs w:val="28"/>
                            <w:cs/>
                            <w:lang w:eastAsia="en-US"/>
                          </w:rPr>
                          <w:t xml:space="preserve">              </w:t>
                        </w:r>
                        <w:r w:rsidRPr="007D3C0E">
                          <w:rPr>
                            <w:rFonts w:ascii="Angsana New" w:hAnsi="Angsana New" w:cs="Angsana New"/>
                            <w:color w:val="0000FF"/>
                            <w:sz w:val="28"/>
                            <w:szCs w:val="28"/>
                            <w:cs/>
                            <w:lang w:eastAsia="en-US"/>
                          </w:rPr>
                          <w:t>การพัฒนาในอนาคต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48.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จำนวนช่องทางหรือแหล่งเผยแพร่ข้อมูลเกี่ยวกับการให้คำปรึกษา หรือแนะนำในการ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ขอใบอนุญาต จดทะเบียนพาณิชย์ หรือการส่งเสริมการลงทุนในพื้นที่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ทั้งการให้คำปรึกษา หรือแนะนำ ที่สำนักงาน อบต. โดยตรง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หรือให้คำแนะคำผ่านช่องทางสื่อออนไลน์ เช่น เว็บไซต์ หรือเฟซบุ๊ก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หรือผ่านช่องทางสื่อออนไลน์อื่น ๆ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150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49.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จำนวนครั้งในการประเมินความพึงพอใจของประชาชนต่อการจัดบริการสาธารณะ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ด้านการส่งเสริมเศรษฐกิจชุมชน อาชีพการท่องเที่ยว และการลงทุนของ อบต.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85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8500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4974" w:type="pct"/>
                        <w:gridSpan w:val="7"/>
                        <w:vAlign w:val="center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 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4974" w:type="pct"/>
                        <w:gridSpan w:val="7"/>
                        <w:shd w:val="clear" w:color="auto" w:fill="B8B8B8"/>
                        <w:hideMark/>
                      </w:tcPr>
                      <w:p w:rsidR="007D3C0E" w:rsidRDefault="007D3C0E" w:rsidP="007D3C0E">
                        <w:pPr>
                          <w:rPr>
                            <w:rFonts w:ascii="Angsana New" w:hAnsi="Angsana New" w:cs="Angsana New" w:hint="cs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 xml:space="preserve">                 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 xml:space="preserve">ด้านที่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7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 xml:space="preserve">ด้านการจัดการทรัพยากรธรรมชาติและสิ่งแวดล้อม และ ด้านที่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8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 xml:space="preserve">ด้านการส่งเสริมศิลปะ วัฒนธรรม ภูมิปัญญาชาวบ้าน </w:t>
                        </w:r>
                      </w:p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 xml:space="preserve">                              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>และโบราณสถาน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4974" w:type="pct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 xml:space="preserve">                 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 xml:space="preserve">ด้านที่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7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>การจัดการทรัพยากรธรรมชาติและสิ่งแวดล้อม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50.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จำนวนโครงการหรือกิจกรรมที่ อบต. ดำเนินการในการรณรงค์ประชาสัมพันธ์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lastRenderedPageBreak/>
                          <w:t>การลดปริมาณขยะ หรือการคัดแยกขยะ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150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51.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ร้อยละของปริมาณขยะมูลฝอยในพื้นที่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ที่ถูกกำจัดอย่างถูกสุขลักษณะ ตามกฎ ระเบียบ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ขั้นตอนตามหลักวิชาการของกระทรวงสาธารณสุขหรือหน่วยงานอื่นที่เกี่ยวข้อง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95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552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250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45.29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color w:val="0000FF"/>
                            <w:sz w:val="28"/>
                            <w:szCs w:val="28"/>
                            <w:cs/>
                            <w:lang w:eastAsia="en-US"/>
                          </w:rPr>
                          <w:t xml:space="preserve">               </w:t>
                        </w:r>
                        <w:r w:rsidRPr="007D3C0E">
                          <w:rPr>
                            <w:rFonts w:ascii="Angsana New" w:hAnsi="Angsana New" w:cs="Angsana New"/>
                            <w:color w:val="0000FF"/>
                            <w:sz w:val="28"/>
                            <w:szCs w:val="28"/>
                            <w:cs/>
                            <w:lang w:eastAsia="en-US"/>
                          </w:rPr>
                          <w:t>การพัฒนาในอนาคต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52.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ร้อยละของปริมาณขยะอันตราย และขยะติดเชื้อในพื้นที่ อบต. ที่ถูกส่งต่อไปกำจัดอย่างถูกสุขลักษณะ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95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0.48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208.33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53.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จำนวนโครงการหรือกิจกรรมที่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ดำเนินการในการส่งเสริมการปลูกต้นไม้ การอนุรักษ์ดูแลรักษาป่า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ทรัพยากรชายฝั่ง หรือการจัดการเกี่ยวกับปัญหาน้ำเน่าเสีย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เท่ากับค่าเป้าหมาย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54.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จำนวนโครงการหรือกิจกรรมที่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ดำเนินการในการจัดอบรมหรือประชาสัมพันธ์ให้ความรู้แก่ประชาชนเกี่ยวกับการดูแลรักษาป่า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ภัยจากไฟป่า การป้องกันไฟป่า การเผาในที่โล่ง ภัยจากการเผาในที่โล่ง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หรือการทำแนวกันไฟป่า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50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color w:val="0000FF"/>
                            <w:sz w:val="28"/>
                            <w:szCs w:val="28"/>
                            <w:cs/>
                            <w:lang w:eastAsia="en-US"/>
                          </w:rPr>
                          <w:t xml:space="preserve">               </w:t>
                        </w:r>
                        <w:r w:rsidRPr="007D3C0E">
                          <w:rPr>
                            <w:rFonts w:ascii="Angsana New" w:hAnsi="Angsana New" w:cs="Angsana New"/>
                            <w:color w:val="0000FF"/>
                            <w:sz w:val="28"/>
                            <w:szCs w:val="28"/>
                            <w:cs/>
                            <w:lang w:eastAsia="en-US"/>
                          </w:rPr>
                          <w:t>การพัฒนาในอนาคต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55.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จำนวนครั้งที่ อบต. จัดส่งอาสาสมัครป้องกัน ไฟป่าเข้าร่วมอบรมกับหน่วยงานที่เกี่ยวข้อง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เท่ากับค่าเป้าหมาย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56.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จำนวนโครงการหรือกิจกรรมที่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ดำเนินการในการรณรงค์ประชาสัมพันธ์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 xml:space="preserve">เพื่อป้องกันและลดค่าฝุ่น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PM 2.5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และการลดมลพิษทางอากาศ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150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57.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จำนวนโครงการหรือกิจกรรมที่ อบต. ดำเนินการในการรณรงค์การลดภาวะโลกร้อน และส่งเสริมการใช้พลังงานสะอาด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เท่ากับค่าเป้าหมาย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58.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จำนวนครั้งในการประเมินความพึงพอใจของประชาชนต่อการจัดบริการสาธารณะ ด้านการจัดการทรัพยากรธรรมชาติและสิ่งแวดล้อมของ อบต.</w:t>
                        </w:r>
                      </w:p>
                      <w:p w:rsidR="001A7DE1" w:rsidRDefault="001A7DE1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1A7DE1" w:rsidRPr="007D3C0E" w:rsidRDefault="001A7DE1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230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23000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4974" w:type="pct"/>
                        <w:gridSpan w:val="7"/>
                        <w:vAlign w:val="center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 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4974" w:type="pct"/>
                        <w:gridSpan w:val="7"/>
                        <w:shd w:val="clear" w:color="auto" w:fill="F6F6F6"/>
                        <w:vAlign w:val="center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rFonts w:ascii="Angsana New" w:hAnsi="Angsana New" w:cs="Angsana New" w:hint="cs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lastRenderedPageBreak/>
                          <w:t xml:space="preserve">                  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 xml:space="preserve">ด้านที่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8 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cs/>
                            <w:lang w:eastAsia="en-US"/>
                          </w:rPr>
                          <w:t>การส่งเสริมศิลปะ วัฒนธรรม ภูมิปัญญาชาวบ้าน และโบราณสถาน</w:t>
                        </w:r>
                        <w:r w:rsidRPr="007D3C0E">
                          <w:rPr>
                            <w:rFonts w:ascii="Angsana New" w:hAnsi="Angsana New" w:cs="Angsana New"/>
                            <w:b/>
                            <w:bCs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59.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จำนวนโครงการหรือกิจกรรมที่ อบต.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ดำเนินการ หรือสนับสนุนในการส่งเสริม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หรืออนุรักษ์ศิลปะ วัฒนธรรม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ประเพณีท้องถิ่น หรือภูมิปัญญาชาวบ้าน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166.67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60.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จำนวนแหล่งการเรียนรู้ในท้องถิ่น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ในชุมชน เกี่ยวกับศิลปะ วัฒนธรรม ประเพณี ภูมิปัญญาท้องถิ่น และโบราณสถาน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ที่ อบต. ดำเนินการหรือให้การส่งเสริมสนับสนุน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15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750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1031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66" w:type="pct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61.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จำนวนครั้งในการประเมินความพึงพอใจของประชาชนต่อการจัดบริการสาธารณะ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cs/>
                            <w:lang w:eastAsia="en-US"/>
                          </w:rPr>
                          <w:t>ด้านการส่งเสริมศิลปะ วัฒนธรรม ภูมิปัญญาชาวบ้าน และโบราณสถาน ของ อบต.</w:t>
                        </w:r>
                      </w:p>
                    </w:tc>
                    <w:tc>
                      <w:tcPr>
                        <w:tcW w:w="30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15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6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252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500</w:t>
                        </w:r>
                      </w:p>
                    </w:tc>
                    <w:tc>
                      <w:tcPr>
                        <w:tcW w:w="1266" w:type="pct"/>
                        <w:hideMark/>
                      </w:tcPr>
                      <w:p w:rsidR="007D3C0E" w:rsidRPr="007D3C0E" w:rsidRDefault="007D3C0E" w:rsidP="007D3C0E">
                        <w:pPr>
                          <w:jc w:val="center"/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color w:val="008000"/>
                            <w:sz w:val="28"/>
                            <w:szCs w:val="28"/>
                            <w:cs/>
                            <w:lang w:eastAsia="en-US"/>
                          </w:rPr>
                          <w:t>สูงกว่าค่าเป้าหมาย</w:t>
                        </w: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D3C0E" w:rsidRPr="007D3C0E" w:rsidTr="007D3C0E">
                    <w:trPr>
                      <w:tblCellSpacing w:w="15" w:type="dxa"/>
                      <w:jc w:val="center"/>
                    </w:trPr>
                    <w:tc>
                      <w:tcPr>
                        <w:tcW w:w="4974" w:type="pct"/>
                        <w:gridSpan w:val="7"/>
                        <w:vAlign w:val="center"/>
                        <w:hideMark/>
                      </w:tcPr>
                      <w:p w:rsidR="007D3C0E" w:rsidRPr="007D3C0E" w:rsidRDefault="007D3C0E" w:rsidP="007D3C0E">
                        <w:pPr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</w:pPr>
                        <w:r w:rsidRPr="007D3C0E">
                          <w:rPr>
                            <w:rFonts w:ascii="Angsana New" w:hAnsi="Angsana New" w:cs="Angsana New"/>
                            <w:sz w:val="28"/>
                            <w:szCs w:val="28"/>
                            <w:lang w:eastAsia="en-US"/>
                          </w:rPr>
                          <w:t> </w:t>
                        </w:r>
                      </w:p>
                    </w:tc>
                  </w:tr>
                </w:tbl>
                <w:p w:rsidR="007D3C0E" w:rsidRPr="007D3C0E" w:rsidRDefault="007D3C0E" w:rsidP="007D3C0E">
                  <w:pPr>
                    <w:rPr>
                      <w:rFonts w:ascii="Angsana New" w:hAnsi="Angsana New" w:cs="Angsana New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D3C0E" w:rsidRPr="007D3C0E" w:rsidTr="007D3C0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6C6C5"/>
                  <w:vAlign w:val="center"/>
                  <w:hideMark/>
                </w:tcPr>
                <w:p w:rsidR="007D3C0E" w:rsidRPr="007D3C0E" w:rsidRDefault="007D3C0E" w:rsidP="007D3C0E">
                  <w:pPr>
                    <w:rPr>
                      <w:rFonts w:ascii="Angsana New" w:hAnsi="Angsana New" w:cs="Angsana New"/>
                      <w:sz w:val="28"/>
                      <w:szCs w:val="28"/>
                      <w:lang w:eastAsia="en-US"/>
                    </w:rPr>
                  </w:pPr>
                  <w:r w:rsidRPr="007D3C0E">
                    <w:rPr>
                      <w:rFonts w:ascii="Angsana New" w:hAnsi="Angsana New" w:cs="Angsana New"/>
                      <w:sz w:val="28"/>
                      <w:szCs w:val="28"/>
                      <w:lang w:eastAsia="en-US"/>
                    </w:rPr>
                    <w:lastRenderedPageBreak/>
                    <w:t> </w:t>
                  </w:r>
                </w:p>
              </w:tc>
            </w:tr>
            <w:tr w:rsidR="007D3C0E" w:rsidRPr="007D3C0E" w:rsidTr="007D3C0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D3C0E" w:rsidRPr="007D3C0E" w:rsidRDefault="007D3C0E" w:rsidP="007D3C0E">
                  <w:pPr>
                    <w:jc w:val="right"/>
                    <w:rPr>
                      <w:rFonts w:ascii="Angsana New" w:hAnsi="Angsana New" w:cs="Angsana New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Angsana New" w:hAnsi="Angsana New" w:cs="Angsana New"/>
                      <w:noProof/>
                      <w:color w:val="0000FF"/>
                      <w:sz w:val="28"/>
                      <w:szCs w:val="28"/>
                      <w:lang w:eastAsia="en-US"/>
                    </w:rPr>
                    <w:drawing>
                      <wp:inline distT="0" distB="0" distL="0" distR="0" wp14:anchorId="0E2DF2E8" wp14:editId="13CC73D1">
                        <wp:extent cx="304800" cy="346075"/>
                        <wp:effectExtent l="0" t="0" r="0" b="0"/>
                        <wp:docPr id="3" name="รูปภาพ 3" descr="http://164.115.25.179/sar/sao8/icon/xml.png">
                          <a:hlinkClick xmlns:a="http://schemas.openxmlformats.org/drawingml/2006/main" r:id="rId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164.115.25.179/sar/sao8/icon/xml.png">
                                  <a:hlinkClick r:id="rId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46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D3C0E">
                    <w:rPr>
                      <w:rFonts w:ascii="Angsana New" w:hAnsi="Angsana New" w:cs="Angsana New"/>
                      <w:sz w:val="28"/>
                      <w:szCs w:val="28"/>
                      <w:lang w:eastAsia="en-US"/>
                    </w:rPr>
                    <w:t xml:space="preserve">  </w:t>
                  </w:r>
                  <w:r>
                    <w:rPr>
                      <w:rFonts w:ascii="Angsana New" w:hAnsi="Angsana New" w:cs="Angsana New"/>
                      <w:noProof/>
                      <w:color w:val="0000FF"/>
                      <w:sz w:val="28"/>
                      <w:szCs w:val="28"/>
                      <w:lang w:eastAsia="en-US"/>
                    </w:rPr>
                    <w:drawing>
                      <wp:inline distT="0" distB="0" distL="0" distR="0" wp14:anchorId="2583E1FC" wp14:editId="4F8137D8">
                        <wp:extent cx="304800" cy="346075"/>
                        <wp:effectExtent l="0" t="0" r="0" b="0"/>
                        <wp:docPr id="2" name="รูปภาพ 2" descr="http://164.115.25.179/sar/sao8/icon/word.png">
                          <a:hlinkClick xmlns:a="http://schemas.openxmlformats.org/drawingml/2006/main" r:id="rId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164.115.25.179/sar/sao8/icon/word.png">
                                  <a:hlinkClick r:id="rId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46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D3C0E">
                    <w:rPr>
                      <w:rFonts w:ascii="Angsana New" w:hAnsi="Angsana New" w:cs="Angsana New"/>
                      <w:sz w:val="28"/>
                      <w:szCs w:val="28"/>
                      <w:lang w:eastAsia="en-US"/>
                    </w:rPr>
                    <w:t xml:space="preserve">    </w:t>
                  </w:r>
                  <w:r>
                    <w:rPr>
                      <w:rFonts w:ascii="Angsana New" w:hAnsi="Angsana New" w:cs="Angsana New"/>
                      <w:noProof/>
                      <w:color w:val="0000FF"/>
                      <w:sz w:val="28"/>
                      <w:szCs w:val="28"/>
                      <w:lang w:eastAsia="en-US"/>
                    </w:rPr>
                    <w:drawing>
                      <wp:inline distT="0" distB="0" distL="0" distR="0" wp14:anchorId="2B483542" wp14:editId="0C2FEC03">
                        <wp:extent cx="304800" cy="346075"/>
                        <wp:effectExtent l="0" t="0" r="0" b="0"/>
                        <wp:docPr id="1" name="รูปภาพ 1" descr="http://164.115.25.179/sar/sao8/icon/excel.png">
                          <a:hlinkClick xmlns:a="http://schemas.openxmlformats.org/drawingml/2006/main" r:id="rId1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164.115.25.179/sar/sao8/icon/excel.png">
                                  <a:hlinkClick r:id="rId1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46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D3C0E" w:rsidRPr="007D3C0E" w:rsidRDefault="007D3C0E" w:rsidP="007D3C0E">
            <w:pPr>
              <w:rPr>
                <w:rFonts w:ascii="Angsana New" w:hAnsi="Angsana New" w:cs="Angsana New"/>
                <w:sz w:val="28"/>
                <w:szCs w:val="28"/>
                <w:lang w:eastAsia="en-US"/>
              </w:rPr>
            </w:pPr>
          </w:p>
        </w:tc>
      </w:tr>
    </w:tbl>
    <w:p w:rsidR="007D3C0E" w:rsidRPr="007D3C0E" w:rsidRDefault="007D3C0E" w:rsidP="007D3C0E">
      <w:pPr>
        <w:pBdr>
          <w:top w:val="single" w:sz="6" w:space="1" w:color="auto"/>
        </w:pBdr>
        <w:jc w:val="center"/>
        <w:rPr>
          <w:rFonts w:ascii="Arial" w:hAnsi="Arial" w:cs="Cordia New"/>
          <w:vanish/>
          <w:sz w:val="16"/>
          <w:szCs w:val="20"/>
          <w:lang w:eastAsia="en-US"/>
        </w:rPr>
      </w:pPr>
      <w:r w:rsidRPr="007D3C0E">
        <w:rPr>
          <w:rFonts w:ascii="Arial" w:hAnsi="Arial" w:cs="Cordia New"/>
          <w:vanish/>
          <w:sz w:val="16"/>
          <w:szCs w:val="20"/>
          <w:cs/>
          <w:lang w:eastAsia="en-US"/>
        </w:rPr>
        <w:lastRenderedPageBreak/>
        <w:t>ส่วนล่างของฟอร์ม</w:t>
      </w:r>
    </w:p>
    <w:p w:rsidR="007D3C0E" w:rsidRPr="007D3C0E" w:rsidRDefault="007D3C0E" w:rsidP="007D3C0E">
      <w:pPr>
        <w:spacing w:before="100" w:beforeAutospacing="1" w:after="100" w:afterAutospacing="1"/>
        <w:rPr>
          <w:rFonts w:ascii="Angsana New" w:hAnsi="Angsana New" w:cs="Angsana New" w:hint="cs"/>
          <w:sz w:val="28"/>
          <w:szCs w:val="28"/>
          <w:cs/>
          <w:lang w:eastAsia="en-US"/>
        </w:rPr>
      </w:pPr>
      <w:r w:rsidRPr="007D3C0E">
        <w:rPr>
          <w:rFonts w:ascii="Angsana New" w:hAnsi="Angsana New" w:cs="Angsana New"/>
          <w:sz w:val="28"/>
          <w:szCs w:val="28"/>
          <w:lang w:eastAsia="en-US"/>
        </w:rPr>
        <w:t> </w:t>
      </w:r>
      <w:bookmarkStart w:id="0" w:name="_GoBack"/>
      <w:bookmarkEnd w:id="0"/>
    </w:p>
    <w:p w:rsidR="007D3C0E" w:rsidRPr="007D3C0E" w:rsidRDefault="007D3C0E" w:rsidP="007D3C0E">
      <w:pPr>
        <w:spacing w:before="100" w:beforeAutospacing="1" w:after="100" w:afterAutospacing="1"/>
        <w:rPr>
          <w:rFonts w:ascii="Angsana New" w:hAnsi="Angsana New" w:cs="Angsana New"/>
          <w:sz w:val="28"/>
          <w:szCs w:val="28"/>
          <w:lang w:eastAsia="en-US"/>
        </w:rPr>
      </w:pPr>
      <w:r w:rsidRPr="007D3C0E">
        <w:rPr>
          <w:rFonts w:ascii="Tahoma" w:hAnsi="Tahoma" w:cs="Tahoma"/>
          <w:sz w:val="28"/>
          <w:szCs w:val="28"/>
          <w:lang w:eastAsia="en-US"/>
        </w:rPr>
        <w:t>﻿</w:t>
      </w:r>
      <w:r w:rsidRPr="007D3C0E">
        <w:rPr>
          <w:rFonts w:ascii="Angsana New" w:hAnsi="Angsana New" w:cs="Angsana New"/>
          <w:sz w:val="28"/>
          <w:szCs w:val="28"/>
          <w:lang w:eastAsia="en-US"/>
        </w:rPr>
        <w:t xml:space="preserve">:: </w:t>
      </w:r>
      <w:r w:rsidRPr="007D3C0E">
        <w:rPr>
          <w:rFonts w:ascii="Angsana New" w:hAnsi="Angsana New" w:cs="Angsana New"/>
          <w:sz w:val="28"/>
          <w:szCs w:val="28"/>
          <w:cs/>
          <w:lang w:eastAsia="en-US"/>
        </w:rPr>
        <w:t>สำนักงานคณะกรรมการการกระจายอำนาจให้แก่องค์กรปกครองส่วนท้องถิ่น สำนักงานปลัดสำนักนายกรัฐมนตรี ::</w:t>
      </w:r>
    </w:p>
    <w:p w:rsidR="007202BB" w:rsidRDefault="007202BB"/>
    <w:sectPr w:rsidR="007202BB" w:rsidSect="007D3C0E">
      <w:pgSz w:w="11906" w:h="16838"/>
      <w:pgMar w:top="851" w:right="9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2F" w:rsidRDefault="0015272F" w:rsidP="007D3C0E">
      <w:r>
        <w:separator/>
      </w:r>
    </w:p>
  </w:endnote>
  <w:endnote w:type="continuationSeparator" w:id="0">
    <w:p w:rsidR="0015272F" w:rsidRDefault="0015272F" w:rsidP="007D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2F" w:rsidRDefault="0015272F" w:rsidP="007D3C0E">
      <w:r>
        <w:separator/>
      </w:r>
    </w:p>
  </w:footnote>
  <w:footnote w:type="continuationSeparator" w:id="0">
    <w:p w:rsidR="0015272F" w:rsidRDefault="0015272F" w:rsidP="007D3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0E"/>
    <w:rsid w:val="00107B71"/>
    <w:rsid w:val="0015272F"/>
    <w:rsid w:val="001A7DE1"/>
    <w:rsid w:val="007202BB"/>
    <w:rsid w:val="007D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71"/>
    <w:rPr>
      <w:rFonts w:ascii="AngsanaUPC" w:hAnsi="AngsanaUPC" w:cs="AngsanaUPC"/>
      <w:sz w:val="30"/>
      <w:szCs w:val="30"/>
      <w:lang w:eastAsia="zh-CN"/>
    </w:rPr>
  </w:style>
  <w:style w:type="paragraph" w:styleId="3">
    <w:name w:val="heading 3"/>
    <w:basedOn w:val="a"/>
    <w:link w:val="30"/>
    <w:uiPriority w:val="9"/>
    <w:qFormat/>
    <w:rsid w:val="007D3C0E"/>
    <w:pPr>
      <w:spacing w:before="100" w:beforeAutospacing="1" w:after="100" w:afterAutospacing="1"/>
      <w:outlineLvl w:val="2"/>
    </w:pPr>
    <w:rPr>
      <w:rFonts w:ascii="Angsana New" w:hAnsi="Angsana New" w:cs="Angsana New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C0E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a4">
    <w:name w:val="หัวกระดาษ อักขระ"/>
    <w:basedOn w:val="a0"/>
    <w:link w:val="a3"/>
    <w:uiPriority w:val="99"/>
    <w:rsid w:val="007D3C0E"/>
    <w:rPr>
      <w:rFonts w:ascii="AngsanaUPC" w:hAnsi="AngsanaUPC"/>
      <w:sz w:val="30"/>
      <w:szCs w:val="38"/>
      <w:lang w:eastAsia="zh-CN"/>
    </w:rPr>
  </w:style>
  <w:style w:type="paragraph" w:styleId="a5">
    <w:name w:val="footer"/>
    <w:basedOn w:val="a"/>
    <w:link w:val="a6"/>
    <w:uiPriority w:val="99"/>
    <w:unhideWhenUsed/>
    <w:rsid w:val="007D3C0E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a6">
    <w:name w:val="ท้ายกระดาษ อักขระ"/>
    <w:basedOn w:val="a0"/>
    <w:link w:val="a5"/>
    <w:uiPriority w:val="99"/>
    <w:rsid w:val="007D3C0E"/>
    <w:rPr>
      <w:rFonts w:ascii="AngsanaUPC" w:hAnsi="AngsanaUPC"/>
      <w:sz w:val="30"/>
      <w:szCs w:val="38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rsid w:val="007D3C0E"/>
    <w:rPr>
      <w:rFonts w:ascii="Angsana New" w:hAnsi="Angsana New"/>
      <w:b/>
      <w:bCs/>
      <w:sz w:val="27"/>
      <w:szCs w:val="27"/>
    </w:rPr>
  </w:style>
  <w:style w:type="character" w:customStyle="1" w:styleId="z-">
    <w:name w:val="z-ด้านบนของฟอร์ม อักขระ"/>
    <w:basedOn w:val="a0"/>
    <w:link w:val="z-0"/>
    <w:uiPriority w:val="99"/>
    <w:semiHidden/>
    <w:rsid w:val="007D3C0E"/>
    <w:rPr>
      <w:rFonts w:ascii="Arial" w:hAnsi="Arial" w:cs="Cordia New"/>
      <w:vanish/>
      <w:sz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D3C0E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  <w:lang w:eastAsia="en-US"/>
    </w:rPr>
  </w:style>
  <w:style w:type="character" w:customStyle="1" w:styleId="z-1">
    <w:name w:val="z-ด้านล่างของฟอร์ม อักขระ"/>
    <w:basedOn w:val="a0"/>
    <w:link w:val="z-2"/>
    <w:uiPriority w:val="99"/>
    <w:semiHidden/>
    <w:rsid w:val="007D3C0E"/>
    <w:rPr>
      <w:rFonts w:ascii="Arial" w:hAnsi="Arial" w:cs="Cordia New"/>
      <w:vanish/>
      <w:sz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7D3C0E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D3C0E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D3C0E"/>
    <w:rPr>
      <w:rFonts w:ascii="Tahoma" w:hAnsi="Tahoma"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71"/>
    <w:rPr>
      <w:rFonts w:ascii="AngsanaUPC" w:hAnsi="AngsanaUPC" w:cs="AngsanaUPC"/>
      <w:sz w:val="30"/>
      <w:szCs w:val="30"/>
      <w:lang w:eastAsia="zh-CN"/>
    </w:rPr>
  </w:style>
  <w:style w:type="paragraph" w:styleId="3">
    <w:name w:val="heading 3"/>
    <w:basedOn w:val="a"/>
    <w:link w:val="30"/>
    <w:uiPriority w:val="9"/>
    <w:qFormat/>
    <w:rsid w:val="007D3C0E"/>
    <w:pPr>
      <w:spacing w:before="100" w:beforeAutospacing="1" w:after="100" w:afterAutospacing="1"/>
      <w:outlineLvl w:val="2"/>
    </w:pPr>
    <w:rPr>
      <w:rFonts w:ascii="Angsana New" w:hAnsi="Angsana New" w:cs="Angsana New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C0E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a4">
    <w:name w:val="หัวกระดาษ อักขระ"/>
    <w:basedOn w:val="a0"/>
    <w:link w:val="a3"/>
    <w:uiPriority w:val="99"/>
    <w:rsid w:val="007D3C0E"/>
    <w:rPr>
      <w:rFonts w:ascii="AngsanaUPC" w:hAnsi="AngsanaUPC"/>
      <w:sz w:val="30"/>
      <w:szCs w:val="38"/>
      <w:lang w:eastAsia="zh-CN"/>
    </w:rPr>
  </w:style>
  <w:style w:type="paragraph" w:styleId="a5">
    <w:name w:val="footer"/>
    <w:basedOn w:val="a"/>
    <w:link w:val="a6"/>
    <w:uiPriority w:val="99"/>
    <w:unhideWhenUsed/>
    <w:rsid w:val="007D3C0E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a6">
    <w:name w:val="ท้ายกระดาษ อักขระ"/>
    <w:basedOn w:val="a0"/>
    <w:link w:val="a5"/>
    <w:uiPriority w:val="99"/>
    <w:rsid w:val="007D3C0E"/>
    <w:rPr>
      <w:rFonts w:ascii="AngsanaUPC" w:hAnsi="AngsanaUPC"/>
      <w:sz w:val="30"/>
      <w:szCs w:val="38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rsid w:val="007D3C0E"/>
    <w:rPr>
      <w:rFonts w:ascii="Angsana New" w:hAnsi="Angsana New"/>
      <w:b/>
      <w:bCs/>
      <w:sz w:val="27"/>
      <w:szCs w:val="27"/>
    </w:rPr>
  </w:style>
  <w:style w:type="character" w:customStyle="1" w:styleId="z-">
    <w:name w:val="z-ด้านบนของฟอร์ม อักขระ"/>
    <w:basedOn w:val="a0"/>
    <w:link w:val="z-0"/>
    <w:uiPriority w:val="99"/>
    <w:semiHidden/>
    <w:rsid w:val="007D3C0E"/>
    <w:rPr>
      <w:rFonts w:ascii="Arial" w:hAnsi="Arial" w:cs="Cordia New"/>
      <w:vanish/>
      <w:sz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D3C0E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  <w:lang w:eastAsia="en-US"/>
    </w:rPr>
  </w:style>
  <w:style w:type="character" w:customStyle="1" w:styleId="z-1">
    <w:name w:val="z-ด้านล่างของฟอร์ม อักขระ"/>
    <w:basedOn w:val="a0"/>
    <w:link w:val="z-2"/>
    <w:uiPriority w:val="99"/>
    <w:semiHidden/>
    <w:rsid w:val="007D3C0E"/>
    <w:rPr>
      <w:rFonts w:ascii="Arial" w:hAnsi="Arial" w:cs="Cordia New"/>
      <w:vanish/>
      <w:sz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7D3C0E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D3C0E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D3C0E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64.115.25.179/sar/sao8/report_xml/xml_report_gpublic.php?kw1=&amp;kw2=" TargetMode="Externa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164.115.25.179/sar/sao8/report_excel/excel_report_gpublic.php?kw1=&amp;kw2=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164.115.25.179/sar/sao8/report_word/word_report_gpublic.php?kw1=&amp;kw2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2024-09-02T03:45:00Z</dcterms:created>
  <dcterms:modified xsi:type="dcterms:W3CDTF">2024-09-02T03:58:00Z</dcterms:modified>
</cp:coreProperties>
</file>